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8"/>
          <w:szCs w:val="28"/>
          <w:rtl w:val="0"/>
        </w:rPr>
        <w:t xml:space="preserve">NARA ALEXIOU ZACARIAS</w:t>
      </w:r>
    </w:p>
    <w:p w:rsidR="00000000" w:rsidDel="00000000" w:rsidP="00000000" w:rsidRDefault="00000000" w:rsidRPr="00000000" w14:paraId="00000002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Lausanne, Switzerland  </w:t>
      </w:r>
    </w:p>
    <w:p w:rsidR="00000000" w:rsidDel="00000000" w:rsidP="00000000" w:rsidRDefault="00000000" w:rsidRPr="00000000" w14:paraId="00000003">
      <w:pPr>
        <w:spacing w:after="0" w:line="260" w:lineRule="auto"/>
        <w:rPr>
          <w:rFonts w:ascii="Calibri" w:cs="Calibri" w:eastAsia="Calibri" w:hAnsi="Calibri"/>
          <w:color w:val="0000ff"/>
          <w:sz w:val="24"/>
          <w:szCs w:val="24"/>
        </w:rPr>
      </w:pPr>
      <w:hyperlink r:id="rId7">
        <w:r w:rsidDel="00000000" w:rsidR="00000000" w:rsidRPr="00000000">
          <w:rPr>
            <w:rFonts w:ascii="Calibri" w:cs="Calibri" w:eastAsia="Calibri" w:hAnsi="Calibri"/>
            <w:color w:val="0000ff"/>
            <w:sz w:val="24"/>
            <w:szCs w:val="24"/>
            <w:u w:val="single"/>
            <w:rtl w:val="0"/>
          </w:rPr>
          <w:t xml:space="preserve">nazacarias@gmail.com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+41 77 486 30 01 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br w:type="textWrapping"/>
      </w:r>
      <w:hyperlink r:id="rId8">
        <w:r w:rsidDel="00000000" w:rsidR="00000000" w:rsidRPr="00000000">
          <w:rPr>
            <w:rFonts w:ascii="Calibri" w:cs="Calibri" w:eastAsia="Calibri" w:hAnsi="Calibri"/>
            <w:color w:val="0000ff"/>
            <w:sz w:val="24"/>
            <w:szCs w:val="24"/>
            <w:u w:val="single"/>
            <w:rtl w:val="0"/>
          </w:rPr>
          <w:t xml:space="preserve">https://www.linkedin.com/in/nazacarias/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Brazilian national · Swiss C-permit (naturalization in progress) </w:t>
      </w:r>
    </w:p>
    <w:p w:rsidR="00000000" w:rsidDel="00000000" w:rsidP="00000000" w:rsidRDefault="00000000" w:rsidRPr="00000000" w14:paraId="00000006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8"/>
          <w:szCs w:val="28"/>
          <w:rtl w:val="0"/>
        </w:rPr>
        <w:t xml:space="preserve">PROFESSIONAL SUMMARY &amp; CAREER HIGHLIGHTS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Strategy &amp; Innovation Leader with 20+ years of experience across four countries (Brazil, Germany, Spain, Switzerland), at the intersection of R&amp;D, technology, and business strategy within international, highly regulated environments. Combines deep scientific expertise (PhD in Physical Chemistry) with advanced capabilities in strategic planning, innovation governance, and executive decision support.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Proven track record in building and leading strategic planning frameworks, including long-term scenario development (10+ year horizon), dynamic modelling (tax-cost, pricing simulations), and KPI systems adopted at global R&amp;D level to support data-driven decision-making.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Evaluated 200+ innovation opportunities across technical, regulatory, IP, commercial, and consumer dimensions, and assessed 120+ technologies annually. Built and governed innovation pipelines, supporting investment prioritization, partnership decisions, and product strategy evolution.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Strong experience in external innovation ecosystems, managing 30+ international partnerships (academia, startups, industry) and coordinating cross-functional collaboration across R&amp;D, Legal, Regulatory, Marketing, Sustainability, and Corporate Strategy teams.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Recognized for translating complex scientific and technological topics into structured business strategies and executive-level insights. Proven ability to operate at VP/ExCom interface, including interim leadership coverage and delivery of high-impact decision materials.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Demonstrated strength in innovation governance (stage-gate processes, dashboards, KPI tracking), sustainability integration (ESG, biodegradable materials), and consumer-centric innovation methodologies (jobs-to-be-done).</w:t>
      </w:r>
    </w:p>
    <w:p w:rsidR="00000000" w:rsidDel="00000000" w:rsidP="00000000" w:rsidRDefault="00000000" w:rsidRPr="00000000" w14:paraId="0000000E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8"/>
          <w:szCs w:val="28"/>
          <w:rtl w:val="0"/>
        </w:rPr>
        <w:t xml:space="preserve">CORE STRENGTHS</w:t>
      </w:r>
    </w:p>
    <w:p w:rsidR="00000000" w:rsidDel="00000000" w:rsidP="00000000" w:rsidRDefault="00000000" w:rsidRPr="00000000" w14:paraId="00000010">
      <w:pPr>
        <w:spacing w:after="0" w:line="26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Corporate Strategy &amp; Scenario Planning | Innovation Strategy &amp; Portfolio Governance | Technology Evaluation &amp; Due Diligence | Corporate Venture &amp; Investment Logic | Cross-functional Leadership | Executive Decision Support | KPI Design &amp; Performance Frameworks | R&amp;D Strategy | Technology-to-Business Translation | Stakeholder Engagement &amp; Partnerships | Sustainability &amp; ESG Integration | Business Transformation Support</w:t>
      </w:r>
    </w:p>
    <w:p w:rsidR="00000000" w:rsidDel="00000000" w:rsidP="00000000" w:rsidRDefault="00000000" w:rsidRPr="00000000" w14:paraId="00000011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8"/>
          <w:szCs w:val="28"/>
          <w:rtl w:val="0"/>
        </w:rPr>
        <w:t xml:space="preserve">PROFESSIONAL EXPERIENCE</w:t>
      </w:r>
    </w:p>
    <w:p w:rsidR="00000000" w:rsidDel="00000000" w:rsidP="00000000" w:rsidRDefault="00000000" w:rsidRPr="00000000" w14:paraId="00000013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JTI SA – Geneva, Switzerland</w:t>
      </w:r>
    </w:p>
    <w:p w:rsidR="00000000" w:rsidDel="00000000" w:rsidP="00000000" w:rsidRDefault="00000000" w:rsidRPr="00000000" w14:paraId="00000014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Strategy &amp; Planning Manager | Jan 2023 – Jul 2025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Led strategic planning initiatives for the global R&amp;D function, including long-term scenario development (2035 horizon) integrating regulatory, consumer, and competitive dynamics.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Designed and implemented cross-functional KPI frameworks covering innovation performance, sustainability, and operational effectiveness, adopted as a core decision-making tool across R&amp;D.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Developed dynamic strategic and financial models (tax-cost, pricing simulations) supporting Executive Committee decisions across multiple markets.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Co-led annual strategic review cycles, producing executive-level materials and supporting long-term direction setting for VP and Director-level stakeholders.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Led a cross-functional initiative linking R&amp;D, sustainability, regulatory, and commercial teams for the global analysis and approval of the introduction of biodegradable material into commercial products.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Designed and launched Curiosity Station, a structured internal scientific engagement and knowledge-sharing programme (100+ participants, 90% satisfaction), recognized as a model for capability building within functions.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Led key sustainability initiatives (EcoXchange), including cross-functional deep dives on biodegradable materials and knowledge transfer programs across global teams.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Coached R&amp;D teams and consumer insights colleagues on collaborative innovation and co-creation methodologies; introduced new frameworks for joint consumer-centric decision-making</w:t>
      </w:r>
    </w:p>
    <w:p w:rsidR="00000000" w:rsidDel="00000000" w:rsidP="00000000" w:rsidRDefault="00000000" w:rsidRPr="00000000" w14:paraId="0000001D">
      <w:pPr>
        <w:spacing w:after="0" w:line="26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Key Achievement: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Contributed to the strategic validation and adoption of biodegradable materials in high-volume product lines.</w:t>
      </w:r>
    </w:p>
    <w:p w:rsidR="00000000" w:rsidDel="00000000" w:rsidP="00000000" w:rsidRDefault="00000000" w:rsidRPr="00000000" w14:paraId="0000001E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Technology &amp; Innovation Manager / External Innovation &amp; Technology Scouting Manager | Nov 2017 – Dec 2022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Covered VP responsibilities during 5-month directorial absence (August–December 2022): chaired all team meetings, maintained stakeholder relationships, implemented enhanced coordination formats.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Conducted 200+ structured inn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ovation and technology assessments across multiple scientific domains, evaluating technical feasibility, IP positioning, regulatory constraints, commercial viability, and consumer acceptance.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Assessed 120+ technologies annually and built structured evaluation frameworks supporting go/no-go and investment decisions.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Built and managed a portfolio of 30+ international partnerships with universities, startups, and technology providers, covering the full lifecycle from identification to development and integration.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Designed and evolved innovation scouting methodologies, transitioning from technology-push to consumer-centric frameworks (jobs-to-be-done), in collaboration with strategic insights teams.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Supported due diligence processes and Executive Committee decision-making, including earn-out materials for a significant external technology acquisition.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Designed and implemented innovation governance infrastructure, including stage-gate processes, KPI dashboards, and structured decision templates.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Coordinated cross-functional teams across R&amp;D, Legal, Regulatory, Marketing, and Commercial functions, ensuring alignment of innovation initiatives with business priorities.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Managed external consultancies and supported business development through technical and strategic input into commercial and licensing discussions.</w:t>
      </w:r>
    </w:p>
    <w:p w:rsidR="00000000" w:rsidDel="00000000" w:rsidP="00000000" w:rsidRDefault="00000000" w:rsidRPr="00000000" w14:paraId="00000029">
      <w:pPr>
        <w:spacing w:after="0" w:line="26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Key Achievement: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Enabled integration of multiple innovation concepts into the corporate product development pipeline.</w:t>
      </w:r>
    </w:p>
    <w:p w:rsidR="00000000" w:rsidDel="00000000" w:rsidP="00000000" w:rsidRDefault="00000000" w:rsidRPr="00000000" w14:paraId="0000002A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SICPA SA – Lausanne Area, Switzerland</w:t>
      </w:r>
    </w:p>
    <w:p w:rsidR="00000000" w:rsidDel="00000000" w:rsidP="00000000" w:rsidRDefault="00000000" w:rsidRPr="00000000" w14:paraId="0000002C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Patent Engineer – Government Security Solutions Innovation Lab | Aug 2016 – Sep 2017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Conducted patentability and freedom-to-operate analyses across chemical and digital domains, supporting innovation protection and strategic positioning.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Led competitive intelligence and technology landscape analyses, translating insights into actionable recommendations for R&amp;D and legal teams.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Bridged R&amp;D and legal functions in patent drafting, filings, and IP strategy.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Led a blockchain feasibility study for digital authentication solutions, contributing to early innovation exploration.</w:t>
      </w:r>
    </w:p>
    <w:p w:rsidR="00000000" w:rsidDel="00000000" w:rsidP="00000000" w:rsidRDefault="00000000" w:rsidRPr="00000000" w14:paraId="00000031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HES-SO University of Applied Sciences – Switzerland</w:t>
      </w:r>
    </w:p>
    <w:p w:rsidR="00000000" w:rsidDel="00000000" w:rsidP="00000000" w:rsidRDefault="00000000" w:rsidRPr="00000000" w14:paraId="00000033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Innovation Management Practitioner | Sep 2015 – Jun 2016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Led an applied innovation project with Logitech (FutureLab, EPFL Innovation Park), developing a new product concept and associated business model.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Conducted market analysis, consumer insight integration, and technology feasibility assessment.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Applied multidisciplinary methodologies (design, engineering, business) within an international and cross-cultural team.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Delivered a validated innovation roadmap and business case to corporate stakeholders.</w:t>
      </w:r>
    </w:p>
    <w:p w:rsidR="00000000" w:rsidDel="00000000" w:rsidP="00000000" w:rsidRDefault="00000000" w:rsidRPr="00000000" w14:paraId="00000038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EPFL (École Polytechnique Fédérale de Lausanne) – Switzerland</w:t>
      </w:r>
    </w:p>
    <w:p w:rsidR="00000000" w:rsidDel="00000000" w:rsidP="00000000" w:rsidRDefault="00000000" w:rsidRPr="00000000" w14:paraId="0000003A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Market Research &amp; Innovation Strategy Consultant | Apr 2015 – Jun 2015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Developed market entry strategy and commercialization plan for a life sciences innovation project.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Conducted competitive analysis and identified high-value applications and partner profiles.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Contributed to securing CHF 250,000 in public funding for an ERC Proof-of-Concept grant application. </w:t>
      </w:r>
    </w:p>
    <w:p w:rsidR="00000000" w:rsidDel="00000000" w:rsidP="00000000" w:rsidRDefault="00000000" w:rsidRPr="00000000" w14:paraId="0000003E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Universidad Complutense de Madrid (UCM) – Spain</w:t>
      </w:r>
    </w:p>
    <w:p w:rsidR="00000000" w:rsidDel="00000000" w:rsidP="00000000" w:rsidRDefault="00000000" w:rsidRPr="00000000" w14:paraId="00000040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Project Manager — Biosensors Research Programme (ENIAC JU Consortium)</w:t>
      </w:r>
    </w:p>
    <w:p w:rsidR="00000000" w:rsidDel="00000000" w:rsidP="00000000" w:rsidRDefault="00000000" w:rsidRPr="00000000" w14:paraId="00000041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Period: June 2010 – May 2012</w:t>
      </w:r>
    </w:p>
    <w:p w:rsidR="00000000" w:rsidDel="00000000" w:rsidP="00000000" w:rsidRDefault="00000000" w:rsidRPr="00000000" w14:paraId="00000042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Programme: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ENIAC JU — European Nanoelectronics Initiative Advisory Union</w:t>
      </w:r>
    </w:p>
    <w:p w:rsidR="00000000" w:rsidDel="00000000" w:rsidP="00000000" w:rsidRDefault="00000000" w:rsidRPr="00000000" w14:paraId="00000043">
      <w:pPr>
        <w:spacing w:after="0" w:line="26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Partners: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29 organisations across 8 countries including NXP (Netherlands), Bosch (Germany), Tibotec (Belgium) and leading European research universities</w:t>
      </w:r>
    </w:p>
    <w:p w:rsidR="00000000" w:rsidDel="00000000" w:rsidP="00000000" w:rsidRDefault="00000000" w:rsidRPr="00000000" w14:paraId="00000044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Responsibilities and Achievements: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Co-led the technical work package on cardiac biomarker biosensor development within the ENIAC JU consortium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Responsible for deliverables coordination, partner communication and results analysis within assigned consortium work package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Supervised, adapted and transferred operational parameters to concerned partners across multiple countries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Coordinated scientific and administrative delivery to ensure ENIAC JU mid-term review approval (project passed and partners continued collaboration on subsequent projects)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Served as primary liaison between UCM research team, industry sponsors and EU public funders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Organised and facilitated international collaboration events and scientific dissemination activities</w:t>
      </w:r>
    </w:p>
    <w:p w:rsidR="00000000" w:rsidDel="00000000" w:rsidP="00000000" w:rsidRDefault="00000000" w:rsidRPr="00000000" w14:paraId="0000004B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Project Manager — Organic Molecular Materials Group (Prof. Nazario Martín)</w:t>
      </w:r>
    </w:p>
    <w:p w:rsidR="00000000" w:rsidDel="00000000" w:rsidP="00000000" w:rsidRDefault="00000000" w:rsidRPr="00000000" w14:paraId="0000004D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Period: May 2009 – May 2012</w:t>
      </w:r>
    </w:p>
    <w:p w:rsidR="00000000" w:rsidDel="00000000" w:rsidP="00000000" w:rsidRDefault="00000000" w:rsidRPr="00000000" w14:paraId="0000004E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Scope: 15+ European, national and regional research projects; total accountability ~€800,000</w:t>
      </w:r>
    </w:p>
    <w:p w:rsidR="00000000" w:rsidDel="00000000" w:rsidP="00000000" w:rsidRDefault="00000000" w:rsidRPr="00000000" w14:paraId="0000004F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Responsibilities and Achievements: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Managed administrative, scientific and financial coordination for two major research groups totalling 50+ researchers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Wrote scientific proposals and reports to European, Spanish and regional funding agencies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Managed multi-grant budgets totalling approximately €800,000; maintained Excel-based accountability systems and financial reporting for all grants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Conducted competitive intelligence in organic photovoltaics to support the group's strategic research positioning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Supported project planning including budget management and research roadmap definition across multiple concurrent grants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Organised national and international conferences including the 2009 Consolider Meeting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Coordinated the scientific edition of an international book (Carbon Nanotubes and Related Structures, Wiley-VCH)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Co-led the establishment of the Institute of Advanced Studies - IMDEA in 2012, a significant institutional development for the research group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Managed agreements between universities and international research institutions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0" w:lineRule="auto"/>
        <w:ind w:left="36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Translated scientific content and websites for international audiences</w:t>
      </w:r>
    </w:p>
    <w:p w:rsidR="00000000" w:rsidDel="00000000" w:rsidP="00000000" w:rsidRDefault="00000000" w:rsidRPr="00000000" w14:paraId="0000005A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8"/>
          <w:szCs w:val="28"/>
          <w:rtl w:val="0"/>
        </w:rPr>
        <w:t xml:space="preserve">TECHNICAL &amp; PROFESSIONAL TOOLS</w:t>
      </w:r>
    </w:p>
    <w:p w:rsidR="00000000" w:rsidDel="00000000" w:rsidP="00000000" w:rsidRDefault="00000000" w:rsidRPr="00000000" w14:paraId="0000005C">
      <w:pPr>
        <w:spacing w:after="0" w:line="26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Microsoft 365 (Excel – advanced modelling &amp; dashboards, PowerPoint, Word, SharePoint) | Power BI | KPI Frameworks | Innovation Governance (Stage-Gate, Dashboards) | Scientific &amp; Patent Databases (SciFinder, Web of Science, Espacenet, PatentScope) | Strategic Modelling | GenAI Tools | Workshop Facilitation</w:t>
      </w:r>
    </w:p>
    <w:p w:rsidR="00000000" w:rsidDel="00000000" w:rsidP="00000000" w:rsidRDefault="00000000" w:rsidRPr="00000000" w14:paraId="0000005D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8"/>
          <w:szCs w:val="28"/>
          <w:rtl w:val="0"/>
        </w:rPr>
        <w:t xml:space="preserve">EDUCATION</w:t>
      </w:r>
    </w:p>
    <w:p w:rsidR="00000000" w:rsidDel="00000000" w:rsidP="00000000" w:rsidRDefault="00000000" w:rsidRPr="00000000" w14:paraId="0000005F">
      <w:pPr>
        <w:spacing w:after="0" w:line="26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Executive Certificate – Strategic Financial Analysis for Business Valuation | Harvard Business School | 2018</w:t>
      </w:r>
    </w:p>
    <w:p w:rsidR="00000000" w:rsidDel="00000000" w:rsidP="00000000" w:rsidRDefault="00000000" w:rsidRPr="00000000" w14:paraId="00000060">
      <w:pPr>
        <w:spacing w:after="0" w:line="26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MSc – Integrated Innovation for Product &amp; Business Development (Innokick) | HES-SO, Switzerland | 2015 – 2017</w:t>
      </w:r>
    </w:p>
    <w:p w:rsidR="00000000" w:rsidDel="00000000" w:rsidP="00000000" w:rsidRDefault="00000000" w:rsidRPr="00000000" w14:paraId="00000061">
      <w:pPr>
        <w:spacing w:after="0" w:line="26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Master thesis for SICPA SA — digital application for consumer engagement applied to FMCG</w:t>
      </w:r>
    </w:p>
    <w:p w:rsidR="00000000" w:rsidDel="00000000" w:rsidP="00000000" w:rsidRDefault="00000000" w:rsidRPr="00000000" w14:paraId="00000062">
      <w:pPr>
        <w:spacing w:after="0" w:line="26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Vocational Training – IP Protection &amp; Technology Transfer | WIPO | 2008 – 2009</w:t>
      </w:r>
    </w:p>
    <w:p w:rsidR="00000000" w:rsidDel="00000000" w:rsidP="00000000" w:rsidRDefault="00000000" w:rsidRPr="00000000" w14:paraId="00000063">
      <w:pPr>
        <w:spacing w:after="0" w:line="26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PhD in Physical Chemistry | University of São Paulo (with Karlsruhe Institute of Technology) | 2003 – 2007</w:t>
      </w:r>
    </w:p>
    <w:p w:rsidR="00000000" w:rsidDel="00000000" w:rsidP="00000000" w:rsidRDefault="00000000" w:rsidRPr="00000000" w14:paraId="00000064">
      <w:pPr>
        <w:spacing w:after="0" w:line="26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Master’s Degree in Chemistry | University of São Paulo | 1998 – 2003</w:t>
      </w:r>
    </w:p>
    <w:p w:rsidR="00000000" w:rsidDel="00000000" w:rsidP="00000000" w:rsidRDefault="00000000" w:rsidRPr="00000000" w14:paraId="00000065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60" w:lineRule="auto"/>
        <w:rPr>
          <w:rFonts w:ascii="Calibri" w:cs="Calibri" w:eastAsia="Calibri" w:hAnsi="Calibri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8"/>
          <w:szCs w:val="28"/>
          <w:rtl w:val="0"/>
        </w:rPr>
        <w:t xml:space="preserve">LANGUAGES</w:t>
      </w:r>
    </w:p>
    <w:p w:rsidR="00000000" w:rsidDel="00000000" w:rsidP="00000000" w:rsidRDefault="00000000" w:rsidRPr="00000000" w14:paraId="00000067">
      <w:pPr>
        <w:spacing w:after="0" w:line="26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Portuguese (Native) | English (Fluent) | French (Fluent) | Spanish (Fluent) | Italian (Fluent) | German (C1 – certified, refreshing) | Greek (Conversational)</w:t>
      </w:r>
    </w:p>
    <w:p w:rsidR="00000000" w:rsidDel="00000000" w:rsidP="00000000" w:rsidRDefault="00000000" w:rsidRPr="00000000" w14:paraId="00000068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8"/>
          <w:szCs w:val="28"/>
          <w:rtl w:val="0"/>
        </w:rPr>
        <w:t xml:space="preserve">ADDITIONAL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Mentor – Singa Geneva (2026)</w:t>
      </w:r>
    </w:p>
    <w:p w:rsidR="00000000" w:rsidDel="00000000" w:rsidP="00000000" w:rsidRDefault="00000000" w:rsidRPr="00000000" w14:paraId="0000006B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Career Mentor – Alumna Network (2023–2024)</w:t>
      </w:r>
    </w:p>
    <w:p w:rsidR="00000000" w:rsidDel="00000000" w:rsidP="00000000" w:rsidRDefault="00000000" w:rsidRPr="00000000" w14:paraId="0000006C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Volunteer Tutor – Sciences &amp; Languages (2024)</w:t>
      </w:r>
    </w:p>
    <w:p w:rsidR="00000000" w:rsidDel="00000000" w:rsidP="00000000" w:rsidRDefault="00000000" w:rsidRPr="00000000" w14:paraId="0000006D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Active member – La Trame (circular economy initiative)</w:t>
      </w:r>
    </w:p>
    <w:p w:rsidR="00000000" w:rsidDel="00000000" w:rsidP="00000000" w:rsidRDefault="00000000" w:rsidRPr="00000000" w14:paraId="0000006E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Co-founder – HWAW Radio Podcast</w:t>
      </w:r>
    </w:p>
    <w:p w:rsidR="00000000" w:rsidDel="00000000" w:rsidP="00000000" w:rsidRDefault="00000000" w:rsidRPr="00000000" w14:paraId="0000006F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International experience across Europe and Latin America</w:t>
      </w:r>
    </w:p>
    <w:p w:rsidR="00000000" w:rsidDel="00000000" w:rsidP="00000000" w:rsidRDefault="00000000" w:rsidRPr="00000000" w14:paraId="00000071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6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360" w:hanging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•"/>
      <w:lvlJc w:val="left"/>
      <w:pPr>
        <w:ind w:left="360" w:hanging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•"/>
      <w:lvlJc w:val="left"/>
      <w:pPr>
        <w:ind w:left="360" w:hanging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•"/>
      <w:lvlJc w:val="left"/>
      <w:pPr>
        <w:ind w:left="360" w:hanging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•"/>
      <w:lvlJc w:val="left"/>
      <w:pPr>
        <w:ind w:left="360" w:hanging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•"/>
      <w:lvlJc w:val="left"/>
      <w:pPr>
        <w:ind w:left="360" w:hanging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•"/>
      <w:lvlJc w:val="left"/>
      <w:pPr>
        <w:ind w:left="360" w:hanging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•"/>
      <w:lvlJc w:val="left"/>
      <w:pPr>
        <w:ind w:left="360" w:hanging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nazacarias@gmail.com" TargetMode="External"/><Relationship Id="rId8" Type="http://schemas.openxmlformats.org/officeDocument/2006/relationships/hyperlink" Target="https://www.linkedin.com/in/nazacarias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qdZU5/KeoB4kyKCpiMZB26ukyA==">CgMxLjA4AHIhMXdmbE9GbE9sRzVBMk9ERk80TndGNHF6aGVzRnM1T3NP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